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0C204A" w14:paraId="2B862208" wp14:textId="65679BDC">
      <w:pPr>
        <w:jc w:val="center"/>
        <w:rPr>
          <w:rFonts w:ascii="Arial" w:hAnsi="Arial" w:eastAsia="Arial" w:cs="Arial"/>
          <w:b w:val="0"/>
          <w:bCs w:val="0"/>
          <w:i w:val="0"/>
          <w:iCs w:val="0"/>
          <w:caps w:val="0"/>
          <w:smallCaps w:val="0"/>
          <w:noProof w:val="0"/>
          <w:color w:val="1F497D"/>
          <w:sz w:val="24"/>
          <w:szCs w:val="24"/>
          <w:lang w:val="en-US"/>
        </w:rPr>
      </w:pPr>
      <w:r w:rsidRPr="680C204A" w:rsidR="680C204A">
        <w:rPr>
          <w:rFonts w:ascii="Arial" w:hAnsi="Arial" w:eastAsia="Arial" w:cs="Arial"/>
          <w:b w:val="0"/>
          <w:bCs w:val="0"/>
          <w:i w:val="0"/>
          <w:iCs w:val="0"/>
          <w:caps w:val="0"/>
          <w:smallCaps w:val="0"/>
          <w:noProof w:val="0"/>
          <w:color w:val="1F497D"/>
          <w:sz w:val="24"/>
          <w:szCs w:val="24"/>
          <w:lang w:val="en-US"/>
        </w:rPr>
        <w:t>ROAD FRONTAGE MAINTENANCE</w:t>
      </w:r>
    </w:p>
    <w:p xmlns:wp14="http://schemas.microsoft.com/office/word/2010/wordml" w:rsidP="680C204A" w14:paraId="3B7097B1" wp14:textId="71DCDE27">
      <w:pPr>
        <w:rPr>
          <w:rFonts w:ascii="Arial" w:hAnsi="Arial" w:eastAsia="Arial" w:cs="Arial"/>
          <w:b w:val="0"/>
          <w:bCs w:val="0"/>
          <w:i w:val="0"/>
          <w:iCs w:val="0"/>
          <w:caps w:val="0"/>
          <w:smallCaps w:val="0"/>
          <w:noProof w:val="0"/>
          <w:color w:val="1F497D"/>
          <w:sz w:val="24"/>
          <w:szCs w:val="24"/>
          <w:lang w:val="en-US"/>
        </w:rPr>
      </w:pPr>
      <w:r w:rsidRPr="680C204A" w:rsidR="680C204A">
        <w:rPr>
          <w:rFonts w:ascii="Arial" w:hAnsi="Arial" w:eastAsia="Arial" w:cs="Arial"/>
          <w:b w:val="0"/>
          <w:bCs w:val="0"/>
          <w:i w:val="0"/>
          <w:iCs w:val="0"/>
          <w:caps w:val="0"/>
          <w:smallCaps w:val="0"/>
          <w:noProof w:val="0"/>
          <w:color w:val="1F497D"/>
          <w:sz w:val="24"/>
          <w:szCs w:val="24"/>
          <w:lang w:val="en-US"/>
        </w:rPr>
        <w:t xml:space="preserve">According to Article VI, Section 6 of the CC&amp;Rs, annual assessments must be charged on a uniform basis, meaning all lots pay the same annual assessment amount. But, if an owner fails to maintain their lot in a manner satisfactory to the Board, Article VI, Section 8 of the CC&amp;Rs allows the Board, after 30 days’ notice to the owner, to enter the lot, perform the necessary maintenance, and charge the cost of the maintenance to the owner. </w:t>
      </w:r>
      <w:proofErr w:type="gramStart"/>
      <w:r w:rsidRPr="680C204A" w:rsidR="680C204A">
        <w:rPr>
          <w:rFonts w:ascii="Arial" w:hAnsi="Arial" w:eastAsia="Arial" w:cs="Arial"/>
          <w:b w:val="0"/>
          <w:bCs w:val="0"/>
          <w:i w:val="0"/>
          <w:iCs w:val="0"/>
          <w:caps w:val="0"/>
          <w:smallCaps w:val="0"/>
          <w:noProof w:val="0"/>
          <w:color w:val="1F497D"/>
          <w:sz w:val="24"/>
          <w:szCs w:val="24"/>
          <w:lang w:val="en-US"/>
        </w:rPr>
        <w:t>So</w:t>
      </w:r>
      <w:proofErr w:type="gramEnd"/>
      <w:r w:rsidRPr="680C204A" w:rsidR="680C204A">
        <w:rPr>
          <w:rFonts w:ascii="Arial" w:hAnsi="Arial" w:eastAsia="Arial" w:cs="Arial"/>
          <w:b w:val="0"/>
          <w:bCs w:val="0"/>
          <w:i w:val="0"/>
          <w:iCs w:val="0"/>
          <w:caps w:val="0"/>
          <w:smallCaps w:val="0"/>
          <w:noProof w:val="0"/>
          <w:color w:val="1F497D"/>
          <w:sz w:val="24"/>
          <w:szCs w:val="24"/>
          <w:lang w:val="en-US"/>
        </w:rPr>
        <w:t xml:space="preserve"> in that circumstance, the Board may charge one owner more than another owner. This “Individual Assessment” as described in the CC&amp;Rs, does not have to be uniform.</w:t>
      </w:r>
    </w:p>
    <w:p xmlns:wp14="http://schemas.microsoft.com/office/word/2010/wordml" w:rsidP="680C204A" w14:paraId="33E6D24B" wp14:textId="16563D6E">
      <w:pPr>
        <w:rPr>
          <w:rFonts w:ascii="Arial" w:hAnsi="Arial" w:eastAsia="Arial" w:cs="Arial"/>
          <w:b w:val="0"/>
          <w:bCs w:val="0"/>
          <w:i w:val="0"/>
          <w:iCs w:val="0"/>
          <w:caps w:val="0"/>
          <w:smallCaps w:val="0"/>
          <w:noProof w:val="0"/>
          <w:color w:val="1F497D"/>
          <w:sz w:val="24"/>
          <w:szCs w:val="24"/>
          <w:lang w:val="en-US"/>
        </w:rPr>
      </w:pPr>
      <w:r w:rsidRPr="680C204A" w:rsidR="680C204A">
        <w:rPr>
          <w:rFonts w:ascii="Arial" w:hAnsi="Arial" w:eastAsia="Arial" w:cs="Arial"/>
          <w:b w:val="0"/>
          <w:bCs w:val="0"/>
          <w:i w:val="0"/>
          <w:iCs w:val="0"/>
          <w:caps w:val="0"/>
          <w:smallCaps w:val="0"/>
          <w:noProof w:val="0"/>
          <w:color w:val="1F497D"/>
          <w:sz w:val="24"/>
          <w:szCs w:val="24"/>
          <w:lang w:val="en-US"/>
        </w:rPr>
        <w:t>The CC&amp;Rs have no specific provisions regarding Association maintenance of City right of ways within the Association. In other words, nothing that specifically allows or prohibits the use of funds in this manner. But, Article VI, Section 2 generally discusses how the Association is to use assessments. This section limits use to “promoting the general benefit, recreation, health, safety and welfare of the Owners and Occupants of the Property.” Use of Association funds must comply with this Section. Arguably, removing brush from the right of way promotes the safety of owners and occupants, so arguably this use complies with Article VI, Section 2.</w:t>
      </w:r>
    </w:p>
    <w:p xmlns:wp14="http://schemas.microsoft.com/office/word/2010/wordml" w:rsidP="680C204A" w14:paraId="42BF15E2" wp14:textId="487DA32A">
      <w:pPr>
        <w:rPr>
          <w:rFonts w:ascii="Arial" w:hAnsi="Arial" w:eastAsia="Arial" w:cs="Arial"/>
          <w:b w:val="0"/>
          <w:bCs w:val="0"/>
          <w:i w:val="0"/>
          <w:iCs w:val="0"/>
          <w:caps w:val="0"/>
          <w:smallCaps w:val="0"/>
          <w:noProof w:val="0"/>
          <w:color w:val="1F497D"/>
          <w:sz w:val="24"/>
          <w:szCs w:val="24"/>
          <w:lang w:val="en-US"/>
        </w:rPr>
      </w:pPr>
      <w:r w:rsidRPr="680C204A" w:rsidR="680C204A">
        <w:rPr>
          <w:rFonts w:ascii="Arial" w:hAnsi="Arial" w:eastAsia="Arial" w:cs="Arial"/>
          <w:b w:val="0"/>
          <w:bCs w:val="0"/>
          <w:i w:val="0"/>
          <w:iCs w:val="0"/>
          <w:caps w:val="0"/>
          <w:smallCaps w:val="0"/>
          <w:noProof w:val="0"/>
          <w:color w:val="1F497D"/>
          <w:sz w:val="24"/>
          <w:szCs w:val="24"/>
          <w:lang w:val="en-US"/>
        </w:rPr>
        <w:t>Regards,</w:t>
      </w:r>
    </w:p>
    <w:p xmlns:wp14="http://schemas.microsoft.com/office/word/2010/wordml" w:rsidP="680C204A" w14:paraId="6D712657" wp14:textId="7F6ABB0D">
      <w:pPr>
        <w:rPr>
          <w:rFonts w:ascii="Arial" w:hAnsi="Arial" w:eastAsia="Arial" w:cs="Arial"/>
          <w:b w:val="0"/>
          <w:bCs w:val="0"/>
          <w:i w:val="0"/>
          <w:iCs w:val="0"/>
          <w:caps w:val="0"/>
          <w:smallCaps w:val="0"/>
          <w:noProof w:val="0"/>
          <w:color w:val="26282A"/>
          <w:sz w:val="24"/>
          <w:szCs w:val="24"/>
          <w:lang w:val="en-US"/>
        </w:rPr>
      </w:pPr>
      <w:r>
        <w:br/>
      </w:r>
      <w:r w:rsidRPr="680C204A" w:rsidR="680C204A">
        <w:rPr>
          <w:rFonts w:ascii="Arial" w:hAnsi="Arial" w:eastAsia="Arial" w:cs="Arial"/>
          <w:b w:val="1"/>
          <w:bCs w:val="1"/>
          <w:i w:val="0"/>
          <w:iCs w:val="0"/>
          <w:caps w:val="0"/>
          <w:smallCaps w:val="0"/>
          <w:noProof w:val="0"/>
          <w:color w:val="26282A"/>
          <w:sz w:val="24"/>
          <w:szCs w:val="24"/>
          <w:lang w:val="en-US"/>
        </w:rPr>
        <w:t>Jason N. Miller</w:t>
      </w:r>
      <w:r w:rsidRPr="680C204A" w:rsidR="680C204A">
        <w:rPr>
          <w:rFonts w:ascii="Arial" w:hAnsi="Arial" w:eastAsia="Arial" w:cs="Arial"/>
          <w:b w:val="0"/>
          <w:bCs w:val="0"/>
          <w:i w:val="0"/>
          <w:iCs w:val="0"/>
          <w:caps w:val="0"/>
          <w:smallCaps w:val="0"/>
          <w:noProof w:val="0"/>
          <w:color w:val="26282A"/>
          <w:sz w:val="24"/>
          <w:szCs w:val="24"/>
          <w:lang w:val="en-US"/>
        </w:rPr>
        <w:t>, Esq.</w:t>
      </w:r>
    </w:p>
    <w:p xmlns:wp14="http://schemas.microsoft.com/office/word/2010/wordml" w:rsidP="680C204A" w14:paraId="5C3C4978" wp14:textId="40923A94">
      <w:pPr>
        <w:rPr>
          <w:rFonts w:ascii="Arial" w:hAnsi="Arial" w:eastAsia="Arial" w:cs="Arial"/>
          <w:b w:val="0"/>
          <w:bCs w:val="0"/>
          <w:i w:val="0"/>
          <w:iCs w:val="0"/>
          <w:caps w:val="0"/>
          <w:smallCaps w:val="0"/>
          <w:noProof w:val="0"/>
          <w:color w:val="26282A"/>
          <w:sz w:val="24"/>
          <w:szCs w:val="24"/>
          <w:lang w:val="en-US"/>
        </w:rPr>
      </w:pPr>
      <w:r w:rsidRPr="680C204A" w:rsidR="680C204A">
        <w:rPr>
          <w:rFonts w:ascii="Arial" w:hAnsi="Arial" w:eastAsia="Arial" w:cs="Arial"/>
          <w:b w:val="0"/>
          <w:bCs w:val="0"/>
          <w:i w:val="0"/>
          <w:iCs w:val="0"/>
          <w:caps w:val="0"/>
          <w:smallCaps w:val="0"/>
          <w:noProof w:val="0"/>
          <w:color w:val="26282A"/>
          <w:sz w:val="24"/>
          <w:szCs w:val="24"/>
          <w:lang w:val="en-US"/>
        </w:rPr>
        <w:t>Direct: 928.445.5035</w:t>
      </w:r>
      <w:r>
        <w:br/>
      </w:r>
      <w:hyperlink r:id="Rb6c44c95b5c24a90">
        <w:r w:rsidRPr="680C204A" w:rsidR="680C204A">
          <w:rPr>
            <w:rStyle w:val="Hyperlink"/>
            <w:rFonts w:ascii="Arial" w:hAnsi="Arial" w:eastAsia="Arial" w:cs="Arial"/>
            <w:b w:val="0"/>
            <w:bCs w:val="0"/>
            <w:i w:val="0"/>
            <w:iCs w:val="0"/>
            <w:caps w:val="0"/>
            <w:smallCaps w:val="0"/>
            <w:noProof w:val="0"/>
            <w:sz w:val="24"/>
            <w:szCs w:val="24"/>
            <w:lang w:val="en-US"/>
          </w:rPr>
          <w:t>jason.miller@carpenterhazlewood.com</w:t>
        </w:r>
        <w:r>
          <w:br/>
        </w:r>
      </w:hyperlink>
      <w:r w:rsidRPr="680C204A" w:rsidR="680C204A">
        <w:rPr>
          <w:rFonts w:ascii="Arial" w:hAnsi="Arial" w:eastAsia="Arial" w:cs="Arial"/>
          <w:b w:val="0"/>
          <w:bCs w:val="0"/>
          <w:i w:val="0"/>
          <w:iCs w:val="0"/>
          <w:caps w:val="0"/>
          <w:smallCaps w:val="0"/>
          <w:noProof w:val="0"/>
          <w:color w:val="26282A"/>
          <w:sz w:val="24"/>
          <w:szCs w:val="24"/>
          <w:lang w:val="en-US"/>
        </w:rPr>
        <w:t xml:space="preserve">Licensed in AZ, KS </w:t>
      </w:r>
      <w:r>
        <w:br/>
      </w:r>
      <w:r>
        <w:br/>
      </w:r>
      <w:r w:rsidRPr="680C204A" w:rsidR="680C204A">
        <w:rPr>
          <w:rFonts w:ascii="Arial" w:hAnsi="Arial" w:eastAsia="Arial" w:cs="Arial"/>
          <w:b w:val="0"/>
          <w:bCs w:val="0"/>
          <w:i w:val="0"/>
          <w:iCs w:val="0"/>
          <w:caps w:val="0"/>
          <w:smallCaps w:val="0"/>
          <w:noProof w:val="0"/>
          <w:color w:val="26282A"/>
          <w:sz w:val="24"/>
          <w:szCs w:val="24"/>
          <w:lang w:val="en-US"/>
        </w:rPr>
        <w:t>CARPENTER, HAZLEWOOD, DELGADO &amp; BOLEN, LLP</w:t>
      </w:r>
      <w:r>
        <w:br/>
      </w:r>
      <w:hyperlink r:id="R13ceab3e90ec4820">
        <w:r w:rsidRPr="680C204A" w:rsidR="680C204A">
          <w:rPr>
            <w:rStyle w:val="Hyperlink"/>
            <w:rFonts w:ascii="Arial" w:hAnsi="Arial" w:eastAsia="Arial" w:cs="Arial"/>
            <w:b w:val="0"/>
            <w:bCs w:val="0"/>
            <w:i w:val="0"/>
            <w:iCs w:val="0"/>
            <w:caps w:val="0"/>
            <w:smallCaps w:val="0"/>
            <w:noProof w:val="0"/>
            <w:sz w:val="24"/>
            <w:szCs w:val="24"/>
            <w:lang w:val="en-US"/>
          </w:rPr>
          <w:t>www.carpenterhazlewood.com</w:t>
        </w:r>
        <w:r>
          <w:br/>
        </w:r>
      </w:hyperlink>
      <w:r w:rsidRPr="680C204A" w:rsidR="680C204A">
        <w:rPr>
          <w:rFonts w:ascii="Arial" w:hAnsi="Arial" w:eastAsia="Arial" w:cs="Arial"/>
          <w:b w:val="0"/>
          <w:bCs w:val="0"/>
          <w:i w:val="0"/>
          <w:iCs w:val="0"/>
          <w:caps w:val="0"/>
          <w:smallCaps w:val="0"/>
          <w:noProof w:val="0"/>
          <w:color w:val="26282A"/>
          <w:sz w:val="24"/>
          <w:szCs w:val="24"/>
          <w:lang w:val="en-US"/>
        </w:rPr>
        <w:t>800.743.9324           F: 800.743.0494</w:t>
      </w:r>
    </w:p>
    <w:p xmlns:wp14="http://schemas.microsoft.com/office/word/2010/wordml" w:rsidP="680C204A" w14:paraId="2C078E63" wp14:textId="33E12F1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0615A4"/>
    <w:rsid w:val="0353BBE5"/>
    <w:rsid w:val="2AB0B736"/>
    <w:rsid w:val="550615A4"/>
    <w:rsid w:val="5702398D"/>
    <w:rsid w:val="680C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15A4"/>
  <w15:chartTrackingRefBased/>
  <w15:docId w15:val="{D1E74E86-071D-4EC7-8790-425596CB76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jason.miller@carpenterhazlewood.com" TargetMode="External" Id="Rb6c44c95b5c24a90" /><Relationship Type="http://schemas.openxmlformats.org/officeDocument/2006/relationships/hyperlink" Target="http://www.carpenterhazlewood.com/" TargetMode="External" Id="R13ceab3e90ec48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2022-08-03T05:03:32.5565724Z</dcterms:created>
  <dcterms:modified xsi:type="dcterms:W3CDTF">2022-08-03T05:06:18.4896970Z</dcterms:modified>
  <dc:creator>Ron Norfleet</dc:creator>
  <lastModifiedBy>Ron Norfleet</lastModifiedBy>
</coreProperties>
</file>